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BB4" w:rsidRPr="00DA461D" w:rsidRDefault="007E4BB4" w:rsidP="00DA461D">
      <w:pPr>
        <w:ind w:left="-540" w:right="183"/>
        <w:contextualSpacing/>
        <w:jc w:val="right"/>
        <w:rPr>
          <w:rFonts w:ascii="Arial" w:hAnsi="Arial" w:cs="Arial"/>
          <w:b/>
          <w:bCs/>
          <w:color w:val="365F91"/>
        </w:rPr>
      </w:pPr>
      <w:r w:rsidRPr="00DA461D">
        <w:rPr>
          <w:rFonts w:ascii="Arial" w:hAnsi="Arial" w:cs="Arial"/>
          <w:b/>
          <w:bCs/>
          <w:color w:val="365F91"/>
        </w:rPr>
        <w:t>Ref: GJF/2017/06/08</w:t>
      </w:r>
    </w:p>
    <w:p w:rsidR="007E4BB4" w:rsidRPr="00DA461D" w:rsidRDefault="007E4BB4" w:rsidP="00DA461D">
      <w:pPr>
        <w:pStyle w:val="Heading1"/>
        <w:ind w:right="183"/>
        <w:contextualSpacing/>
        <w:rPr>
          <w:rFonts w:ascii="Arial" w:hAnsi="Arial" w:cs="Arial"/>
          <w:sz w:val="24"/>
          <w:szCs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GJF Logo" style="position:absolute;margin-left:347.4pt;margin-top:11.7pt;width:109.3pt;height:109.3pt;z-index:251658240;visibility:visible">
            <v:imagedata r:id="rId7" o:title=""/>
            <w10:wrap type="square"/>
          </v:shape>
        </w:pict>
      </w:r>
    </w:p>
    <w:p w:rsidR="007E4BB4" w:rsidRPr="00DA461D" w:rsidRDefault="007E4BB4" w:rsidP="00DA461D">
      <w:pPr>
        <w:pStyle w:val="Heading1"/>
        <w:ind w:right="183"/>
        <w:contextualSpacing/>
        <w:rPr>
          <w:rFonts w:ascii="Arial" w:hAnsi="Arial" w:cs="Arial"/>
          <w:b w:val="0"/>
          <w:sz w:val="24"/>
          <w:szCs w:val="24"/>
        </w:rPr>
      </w:pPr>
      <w:r w:rsidRPr="00DA461D">
        <w:rPr>
          <w:rFonts w:ascii="Arial" w:hAnsi="Arial" w:cs="Arial"/>
          <w:sz w:val="24"/>
          <w:szCs w:val="24"/>
        </w:rPr>
        <w:t>Board Meeting</w:t>
      </w:r>
      <w:r w:rsidRPr="00DA461D">
        <w:rPr>
          <w:rFonts w:ascii="Arial" w:hAnsi="Arial" w:cs="Arial"/>
          <w:b w:val="0"/>
          <w:sz w:val="24"/>
          <w:szCs w:val="24"/>
        </w:rPr>
        <w:t>:</w:t>
      </w:r>
      <w:r w:rsidRPr="00DA461D">
        <w:rPr>
          <w:rFonts w:ascii="Arial" w:hAnsi="Arial" w:cs="Arial"/>
          <w:b w:val="0"/>
          <w:sz w:val="24"/>
          <w:szCs w:val="24"/>
        </w:rPr>
        <w:tab/>
      </w:r>
      <w:r w:rsidRPr="00DA461D">
        <w:rPr>
          <w:rFonts w:ascii="Arial" w:hAnsi="Arial" w:cs="Arial"/>
          <w:b w:val="0"/>
          <w:sz w:val="24"/>
          <w:szCs w:val="24"/>
        </w:rPr>
        <w:tab/>
        <w:t>15 June 2017</w:t>
      </w:r>
    </w:p>
    <w:p w:rsidR="007E4BB4" w:rsidRPr="00DA461D" w:rsidRDefault="007E4BB4" w:rsidP="00DA461D">
      <w:pPr>
        <w:ind w:right="183"/>
        <w:contextualSpacing/>
        <w:rPr>
          <w:rFonts w:ascii="Arial" w:hAnsi="Arial" w:cs="Arial"/>
        </w:rPr>
      </w:pPr>
    </w:p>
    <w:p w:rsidR="007E4BB4" w:rsidRPr="00DA461D" w:rsidRDefault="007E4BB4" w:rsidP="00DA461D">
      <w:pPr>
        <w:ind w:right="183"/>
        <w:contextualSpacing/>
        <w:rPr>
          <w:rFonts w:ascii="Arial" w:hAnsi="Arial" w:cs="Arial"/>
        </w:rPr>
      </w:pPr>
      <w:r w:rsidRPr="00DA461D">
        <w:rPr>
          <w:rFonts w:ascii="Arial" w:hAnsi="Arial" w:cs="Arial"/>
          <w:b/>
          <w:bCs/>
        </w:rPr>
        <w:t xml:space="preserve">Subject: </w:t>
      </w:r>
      <w:r w:rsidRPr="00DA461D">
        <w:rPr>
          <w:rFonts w:ascii="Arial" w:hAnsi="Arial" w:cs="Arial"/>
          <w:b/>
          <w:bCs/>
        </w:rPr>
        <w:tab/>
      </w:r>
      <w:r w:rsidRPr="00DA461D">
        <w:rPr>
          <w:rFonts w:ascii="Arial" w:hAnsi="Arial" w:cs="Arial"/>
          <w:b/>
          <w:bCs/>
        </w:rPr>
        <w:tab/>
      </w:r>
      <w:r w:rsidRPr="00DA461D">
        <w:rPr>
          <w:rFonts w:ascii="Arial" w:hAnsi="Arial" w:cs="Arial"/>
          <w:b/>
          <w:bCs/>
        </w:rPr>
        <w:tab/>
      </w:r>
      <w:r w:rsidRPr="00DA461D">
        <w:rPr>
          <w:rFonts w:ascii="Arial" w:hAnsi="Arial" w:cs="Arial"/>
          <w:bCs/>
        </w:rPr>
        <w:t>Business Update – April 2017</w:t>
      </w:r>
    </w:p>
    <w:p w:rsidR="007E4BB4" w:rsidRPr="00DA461D" w:rsidRDefault="007E4BB4" w:rsidP="00DA461D">
      <w:pPr>
        <w:ind w:right="183"/>
        <w:contextualSpacing/>
        <w:rPr>
          <w:rFonts w:ascii="Arial" w:hAnsi="Arial" w:cs="Arial"/>
          <w:b/>
          <w:bCs/>
        </w:rPr>
      </w:pPr>
      <w:r w:rsidRPr="00DA461D">
        <w:rPr>
          <w:rFonts w:ascii="Arial" w:hAnsi="Arial" w:cs="Arial"/>
          <w:b/>
          <w:bCs/>
        </w:rPr>
        <w:tab/>
      </w:r>
    </w:p>
    <w:p w:rsidR="007E4BB4" w:rsidRPr="00DA461D" w:rsidRDefault="007E4BB4" w:rsidP="00DA461D">
      <w:pPr>
        <w:ind w:left="2880" w:right="183" w:hanging="2880"/>
        <w:contextualSpacing/>
        <w:rPr>
          <w:rFonts w:ascii="Arial" w:hAnsi="Arial" w:cs="Arial"/>
        </w:rPr>
      </w:pPr>
      <w:r w:rsidRPr="00DA461D">
        <w:rPr>
          <w:rFonts w:ascii="Arial" w:hAnsi="Arial" w:cs="Arial"/>
          <w:b/>
          <w:bCs/>
        </w:rPr>
        <w:t>Recommendation:</w:t>
      </w:r>
      <w:r w:rsidRPr="00DA461D">
        <w:rPr>
          <w:rFonts w:ascii="Arial" w:hAnsi="Arial" w:cs="Arial"/>
          <w:b/>
          <w:bCs/>
        </w:rPr>
        <w:tab/>
      </w:r>
      <w:r w:rsidRPr="00DA461D">
        <w:rPr>
          <w:rFonts w:ascii="Arial" w:hAnsi="Arial" w:cs="Arial"/>
        </w:rPr>
        <w:t>Board members are asked to note the report.</w:t>
      </w:r>
    </w:p>
    <w:p w:rsidR="007E4BB4" w:rsidRPr="00DA461D" w:rsidRDefault="007E4BB4" w:rsidP="00DA461D">
      <w:pPr>
        <w:ind w:right="183"/>
        <w:contextualSpacing/>
        <w:rPr>
          <w:rFonts w:ascii="Arial" w:hAnsi="Arial" w:cs="Arial"/>
        </w:rPr>
      </w:pPr>
    </w:p>
    <w:p w:rsidR="007E4BB4" w:rsidRPr="00DA461D" w:rsidRDefault="007E4BB4" w:rsidP="00DA461D">
      <w:pPr>
        <w:ind w:left="2880" w:right="183" w:hanging="2880"/>
        <w:contextualSpacing/>
        <w:rPr>
          <w:rFonts w:ascii="Arial" w:hAnsi="Arial" w:cs="Arial"/>
        </w:rPr>
      </w:pPr>
    </w:p>
    <w:p w:rsidR="007E4BB4" w:rsidRPr="00DA461D" w:rsidRDefault="007E4BB4" w:rsidP="00DA461D">
      <w:pPr>
        <w:ind w:right="-46"/>
        <w:contextualSpacing/>
        <w:rPr>
          <w:rFonts w:ascii="Arial" w:hAnsi="Arial" w:cs="Arial"/>
          <w:b/>
          <w:bCs/>
        </w:rPr>
      </w:pPr>
      <w:r w:rsidRPr="00DA461D">
        <w:rPr>
          <w:rFonts w:ascii="Arial" w:hAnsi="Arial" w:cs="Arial"/>
          <w:b/>
          <w:bCs/>
        </w:rPr>
        <w:t>__________________________________________________________________</w:t>
      </w:r>
    </w:p>
    <w:p w:rsidR="007E4BB4" w:rsidRPr="00DA461D" w:rsidRDefault="007E4BB4" w:rsidP="00DA461D">
      <w:pPr>
        <w:pStyle w:val="BodyTextIndent"/>
        <w:ind w:left="0" w:right="183" w:firstLine="0"/>
        <w:contextualSpacing/>
        <w:rPr>
          <w:rFonts w:ascii="Arial" w:hAnsi="Arial" w:cs="Arial"/>
          <w:b/>
          <w:bCs/>
        </w:rPr>
      </w:pPr>
    </w:p>
    <w:p w:rsidR="007E4BB4" w:rsidRPr="00DA461D" w:rsidRDefault="007E4BB4" w:rsidP="00DA461D">
      <w:pPr>
        <w:rPr>
          <w:rFonts w:ascii="Arial" w:hAnsi="Arial" w:cs="Arial"/>
          <w:b/>
        </w:rPr>
      </w:pPr>
      <w:r>
        <w:rPr>
          <w:rFonts w:ascii="Arial" w:hAnsi="Arial" w:cs="Arial"/>
          <w:b/>
        </w:rPr>
        <w:t>1</w:t>
      </w:r>
      <w:r>
        <w:rPr>
          <w:rFonts w:ascii="Arial" w:hAnsi="Arial" w:cs="Arial"/>
          <w:b/>
        </w:rPr>
        <w:tab/>
      </w:r>
      <w:r w:rsidRPr="00DA461D">
        <w:rPr>
          <w:rFonts w:ascii="Arial" w:hAnsi="Arial" w:cs="Arial"/>
          <w:b/>
        </w:rPr>
        <w:t>Background</w:t>
      </w:r>
    </w:p>
    <w:p w:rsidR="007E4BB4" w:rsidRPr="00DA461D" w:rsidRDefault="007E4BB4" w:rsidP="00DA461D">
      <w:pPr>
        <w:ind w:left="-360"/>
        <w:rPr>
          <w:rFonts w:ascii="Arial" w:hAnsi="Arial" w:cs="Arial"/>
          <w:b/>
        </w:rPr>
      </w:pPr>
    </w:p>
    <w:p w:rsidR="007E4BB4" w:rsidRPr="00DA461D" w:rsidRDefault="007E4BB4" w:rsidP="00DA461D">
      <w:pPr>
        <w:ind w:left="720" w:right="180"/>
        <w:rPr>
          <w:rFonts w:ascii="Arial" w:hAnsi="Arial" w:cs="Arial"/>
        </w:rPr>
      </w:pPr>
      <w:r w:rsidRPr="00DA461D">
        <w:rPr>
          <w:rFonts w:ascii="Arial" w:hAnsi="Arial" w:cs="Arial"/>
        </w:rPr>
        <w:t xml:space="preserve">Patient activity is reported on a monthly basis, both by month and year to date.  Data contained within the Performance Pack is primarily measured in episodes of care.  However, data is also captured to reflect the number of procedures being carried out by Board, by specialty.  This information is particularly relevant to referring Boards who are allocated activity and measure their activity/throughput at GJNH in numbers of procedures.  </w:t>
      </w:r>
    </w:p>
    <w:p w:rsidR="007E4BB4" w:rsidRPr="00DA461D" w:rsidRDefault="007E4BB4" w:rsidP="00DA461D">
      <w:pPr>
        <w:ind w:left="720" w:right="180"/>
        <w:rPr>
          <w:rFonts w:ascii="Arial" w:hAnsi="Arial" w:cs="Arial"/>
        </w:rPr>
      </w:pPr>
    </w:p>
    <w:p w:rsidR="007E4BB4" w:rsidRPr="00DA461D" w:rsidRDefault="007E4BB4" w:rsidP="00DA461D">
      <w:pPr>
        <w:ind w:left="720" w:right="180"/>
        <w:rPr>
          <w:rFonts w:ascii="Arial" w:hAnsi="Arial" w:cs="Arial"/>
        </w:rPr>
      </w:pPr>
      <w:r w:rsidRPr="00DA461D">
        <w:rPr>
          <w:rFonts w:ascii="Arial" w:hAnsi="Arial" w:cs="Arial"/>
        </w:rPr>
        <w:t>Appendix A to this document is provided for information purposes and reflects the number of patients treated against an annual plan of 16,546 (patients).</w:t>
      </w:r>
    </w:p>
    <w:p w:rsidR="007E4BB4" w:rsidRPr="00DA461D" w:rsidRDefault="007E4BB4" w:rsidP="00DA461D">
      <w:pPr>
        <w:ind w:left="720" w:right="180"/>
        <w:rPr>
          <w:rFonts w:ascii="Arial" w:hAnsi="Arial" w:cs="Arial"/>
        </w:rPr>
      </w:pPr>
    </w:p>
    <w:p w:rsidR="007E4BB4" w:rsidRPr="00DA461D" w:rsidRDefault="007E4BB4" w:rsidP="00DA461D">
      <w:pPr>
        <w:ind w:left="720" w:right="180"/>
        <w:rPr>
          <w:rFonts w:ascii="Arial" w:hAnsi="Arial" w:cs="Arial"/>
        </w:rPr>
      </w:pPr>
      <w:r w:rsidRPr="00DA461D">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7E4BB4" w:rsidRPr="00DA461D" w:rsidRDefault="007E4BB4" w:rsidP="00DA461D">
      <w:pPr>
        <w:ind w:left="720" w:right="180"/>
        <w:rPr>
          <w:rFonts w:ascii="Arial" w:hAnsi="Arial" w:cs="Arial"/>
        </w:rPr>
      </w:pPr>
    </w:p>
    <w:p w:rsidR="007E4BB4" w:rsidRPr="00DA461D" w:rsidRDefault="007E4BB4" w:rsidP="00DA461D">
      <w:pPr>
        <w:ind w:left="720" w:right="180"/>
        <w:rPr>
          <w:rFonts w:ascii="Arial" w:hAnsi="Arial" w:cs="Arial"/>
        </w:rPr>
      </w:pPr>
      <w:r w:rsidRPr="00DA461D">
        <w:rPr>
          <w:rFonts w:ascii="Arial" w:hAnsi="Arial" w:cs="Arial"/>
        </w:rPr>
        <w:t>Referring Boards receive a monthly monitoring document which provides them with a detailed breakdown of the number of patients referred, their complexity and the number of theatre slots used to treat them.</w:t>
      </w:r>
    </w:p>
    <w:p w:rsidR="007E4BB4" w:rsidRPr="00DA461D" w:rsidRDefault="007E4BB4" w:rsidP="00DA461D">
      <w:pPr>
        <w:ind w:right="180"/>
        <w:rPr>
          <w:rFonts w:ascii="Arial" w:hAnsi="Arial" w:cs="Arial"/>
        </w:rPr>
      </w:pPr>
    </w:p>
    <w:p w:rsidR="007E4BB4" w:rsidRPr="00DA461D" w:rsidRDefault="007E4BB4" w:rsidP="00DA461D">
      <w:pPr>
        <w:ind w:right="180"/>
        <w:rPr>
          <w:rFonts w:ascii="Arial" w:hAnsi="Arial" w:cs="Arial"/>
        </w:rPr>
      </w:pPr>
    </w:p>
    <w:p w:rsidR="007E4BB4" w:rsidRPr="00DA461D" w:rsidRDefault="007E4BB4" w:rsidP="00DA461D">
      <w:pPr>
        <w:ind w:right="180"/>
        <w:rPr>
          <w:rFonts w:ascii="Arial" w:hAnsi="Arial" w:cs="Arial"/>
        </w:rPr>
      </w:pPr>
    </w:p>
    <w:p w:rsidR="007E4BB4" w:rsidRPr="00DA461D" w:rsidRDefault="007E4BB4" w:rsidP="00DA461D">
      <w:pPr>
        <w:numPr>
          <w:ilvl w:val="0"/>
          <w:numId w:val="19"/>
        </w:numPr>
        <w:tabs>
          <w:tab w:val="clear" w:pos="360"/>
          <w:tab w:val="num" w:pos="720"/>
        </w:tabs>
        <w:rPr>
          <w:rFonts w:ascii="Arial" w:hAnsi="Arial" w:cs="Arial"/>
          <w:b/>
        </w:rPr>
      </w:pPr>
      <w:r w:rsidRPr="00DA461D">
        <w:rPr>
          <w:rFonts w:ascii="Arial" w:hAnsi="Arial" w:cs="Arial"/>
          <w:b/>
        </w:rPr>
        <w:t>Operational Governance</w:t>
      </w:r>
    </w:p>
    <w:p w:rsidR="007E4BB4" w:rsidRPr="00DA461D" w:rsidRDefault="007E4BB4" w:rsidP="00DA461D">
      <w:pPr>
        <w:ind w:left="-360"/>
        <w:rPr>
          <w:rFonts w:ascii="Arial" w:hAnsi="Arial" w:cs="Arial"/>
        </w:rPr>
      </w:pPr>
    </w:p>
    <w:p w:rsidR="007E4BB4" w:rsidRPr="00DA461D" w:rsidRDefault="007E4BB4" w:rsidP="00DA461D">
      <w:pPr>
        <w:ind w:left="720"/>
        <w:rPr>
          <w:rFonts w:ascii="Arial" w:hAnsi="Arial" w:cs="Arial"/>
          <w:b/>
        </w:rPr>
      </w:pPr>
      <w:r w:rsidRPr="00DA461D">
        <w:rPr>
          <w:rFonts w:ascii="Arial" w:hAnsi="Arial" w:cs="Arial"/>
          <w:b/>
        </w:rPr>
        <w:t>In</w:t>
      </w:r>
      <w:r>
        <w:rPr>
          <w:rFonts w:ascii="Arial" w:hAnsi="Arial" w:cs="Arial"/>
          <w:b/>
        </w:rPr>
        <w:t>p</w:t>
      </w:r>
      <w:r w:rsidRPr="00DA461D">
        <w:rPr>
          <w:rFonts w:ascii="Arial" w:hAnsi="Arial" w:cs="Arial"/>
          <w:b/>
        </w:rPr>
        <w:t>atient/Day Case/Diagnostic Imaging Activity Analysis April 2017</w:t>
      </w:r>
    </w:p>
    <w:p w:rsidR="007E4BB4" w:rsidRPr="00DA461D" w:rsidRDefault="007E4BB4" w:rsidP="00DA461D">
      <w:pPr>
        <w:ind w:left="360" w:firstLine="360"/>
        <w:rPr>
          <w:rFonts w:ascii="Arial" w:hAnsi="Arial" w:cs="Arial"/>
          <w:b/>
        </w:rPr>
      </w:pPr>
    </w:p>
    <w:p w:rsidR="007E4BB4" w:rsidRPr="00DA461D" w:rsidRDefault="007E4BB4" w:rsidP="00DA461D">
      <w:pPr>
        <w:ind w:left="720"/>
        <w:rPr>
          <w:rFonts w:ascii="Arial" w:hAnsi="Arial" w:cs="Arial"/>
        </w:rPr>
      </w:pPr>
      <w:r w:rsidRPr="00DA461D">
        <w:rPr>
          <w:rFonts w:ascii="Arial" w:hAnsi="Arial" w:cs="Arial"/>
        </w:rPr>
        <w:t>Activity for inpatients/day case procedures measured against a projection of 16,546 (which excludes cardiothoracic/cardiology activity) was behind plan by 11.9% for the month of April when activity is adjusted to reflect complexity (Appendix B).</w:t>
      </w:r>
    </w:p>
    <w:p w:rsidR="007E4BB4" w:rsidRPr="00DA461D" w:rsidRDefault="007E4BB4" w:rsidP="00DA461D">
      <w:pPr>
        <w:ind w:left="720"/>
        <w:rPr>
          <w:rFonts w:ascii="Arial" w:hAnsi="Arial" w:cs="Arial"/>
        </w:rPr>
      </w:pPr>
    </w:p>
    <w:p w:rsidR="007E4BB4" w:rsidRPr="00DA461D" w:rsidRDefault="007E4BB4" w:rsidP="00DA461D">
      <w:pPr>
        <w:ind w:left="720"/>
        <w:rPr>
          <w:rFonts w:ascii="Arial" w:hAnsi="Arial" w:cs="Arial"/>
        </w:rPr>
      </w:pPr>
      <w:r w:rsidRPr="00DA461D">
        <w:rPr>
          <w:rFonts w:ascii="Arial" w:hAnsi="Arial" w:cs="Arial"/>
        </w:rPr>
        <w:t>Measured against a total activity projection of 45,996, the combined inpatient/</w:t>
      </w:r>
      <w:r>
        <w:rPr>
          <w:rFonts w:ascii="Arial" w:hAnsi="Arial" w:cs="Arial"/>
        </w:rPr>
        <w:t xml:space="preserve"> </w:t>
      </w:r>
      <w:r w:rsidRPr="00DA461D">
        <w:rPr>
          <w:rFonts w:ascii="Arial" w:hAnsi="Arial" w:cs="Arial"/>
        </w:rPr>
        <w:t>day case and imaging activity at the end of April was 4.8% behind plan when adjusted to reflect complexity (Appendix B).</w:t>
      </w:r>
    </w:p>
    <w:p w:rsidR="007E4BB4" w:rsidRPr="00DA461D" w:rsidRDefault="007E4BB4" w:rsidP="00DA461D">
      <w:pPr>
        <w:tabs>
          <w:tab w:val="num" w:pos="0"/>
        </w:tabs>
        <w:rPr>
          <w:rFonts w:ascii="Arial" w:hAnsi="Arial" w:cs="Arial"/>
          <w:b/>
        </w:rPr>
      </w:pPr>
      <w:r w:rsidRPr="00DA461D">
        <w:rPr>
          <w:rFonts w:ascii="Arial" w:hAnsi="Arial" w:cs="Arial"/>
          <w:b/>
        </w:rPr>
        <w:t>3</w:t>
      </w:r>
      <w:r w:rsidRPr="00DA461D">
        <w:rPr>
          <w:rFonts w:ascii="Arial" w:hAnsi="Arial" w:cs="Arial"/>
          <w:b/>
        </w:rPr>
        <w:tab/>
        <w:t>Analysis of Performance Against Plan at End April 2017</w:t>
      </w:r>
    </w:p>
    <w:p w:rsidR="007E4BB4" w:rsidRPr="00DA461D" w:rsidRDefault="007E4BB4" w:rsidP="00DA461D">
      <w:pPr>
        <w:pStyle w:val="BodyTextIndent3"/>
        <w:spacing w:after="0"/>
        <w:ind w:left="0" w:right="-360"/>
        <w:rPr>
          <w:rFonts w:ascii="Arial" w:hAnsi="Arial" w:cs="Arial"/>
          <w:sz w:val="24"/>
          <w:szCs w:val="24"/>
        </w:rPr>
      </w:pPr>
    </w:p>
    <w:p w:rsidR="007E4BB4" w:rsidRPr="00DA461D" w:rsidRDefault="007E4BB4" w:rsidP="00DA461D">
      <w:pPr>
        <w:pStyle w:val="BodyTextIndent3"/>
        <w:spacing w:after="0"/>
        <w:ind w:left="0" w:right="-360"/>
        <w:rPr>
          <w:rFonts w:ascii="Arial" w:hAnsi="Arial" w:cs="Arial"/>
          <w:b/>
          <w:sz w:val="24"/>
          <w:szCs w:val="24"/>
        </w:rPr>
      </w:pPr>
      <w:r>
        <w:rPr>
          <w:rFonts w:ascii="Arial" w:hAnsi="Arial" w:cs="Arial"/>
          <w:b/>
          <w:sz w:val="24"/>
          <w:szCs w:val="24"/>
        </w:rPr>
        <w:t>3.1</w:t>
      </w:r>
      <w:r>
        <w:rPr>
          <w:rFonts w:ascii="Arial" w:hAnsi="Arial" w:cs="Arial"/>
          <w:b/>
          <w:sz w:val="24"/>
          <w:szCs w:val="24"/>
        </w:rPr>
        <w:tab/>
        <w:t>Orthopaedic Surgery</w:t>
      </w:r>
    </w:p>
    <w:p w:rsidR="007E4BB4" w:rsidRPr="00DA461D" w:rsidRDefault="007E4BB4" w:rsidP="00DA461D">
      <w:pPr>
        <w:pStyle w:val="BodyTextIndent3"/>
        <w:spacing w:after="0"/>
        <w:ind w:left="0" w:right="-36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 xml:space="preserve">The annual target for orthopaedic joint replacements for 2016/17 is based on 3,803 primary joint replacements.  This number is calculated on the basis of one patient to one theatre slot.  Each session equals two primary joint theatre slots.  However, based on experience over the recent years, we have made the assumption that the number of complex joint replacements likely to be referred for treatment would be approximately 9%.  These procedures typically take the </w:t>
      </w:r>
      <w:r>
        <w:rPr>
          <w:rFonts w:ascii="Arial" w:hAnsi="Arial" w:cs="Arial"/>
          <w:sz w:val="24"/>
          <w:szCs w:val="24"/>
        </w:rPr>
        <w:t>equivalent theatre space of 1.5</w:t>
      </w:r>
      <w:r w:rsidRPr="00DA461D">
        <w:rPr>
          <w:rFonts w:ascii="Arial" w:hAnsi="Arial" w:cs="Arial"/>
          <w:sz w:val="24"/>
          <w:szCs w:val="24"/>
        </w:rPr>
        <w:t xml:space="preserve">-2 primary joint replacements.  </w:t>
      </w:r>
    </w:p>
    <w:p w:rsidR="007E4BB4" w:rsidRPr="00DA461D" w:rsidRDefault="007E4BB4" w:rsidP="00DA461D">
      <w:pPr>
        <w:pStyle w:val="BodyTextIndent3"/>
        <w:spacing w:after="0"/>
        <w:ind w:left="72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In addition to the 3,803 primary joint replacements, there is a target number of 681 orthopaedic non</w:t>
      </w:r>
      <w:r>
        <w:rPr>
          <w:rFonts w:ascii="Arial" w:hAnsi="Arial" w:cs="Arial"/>
          <w:sz w:val="24"/>
          <w:szCs w:val="24"/>
        </w:rPr>
        <w:t>-</w:t>
      </w:r>
      <w:r w:rsidRPr="00DA461D">
        <w:rPr>
          <w:rFonts w:ascii="Arial" w:hAnsi="Arial" w:cs="Arial"/>
          <w:sz w:val="24"/>
          <w:szCs w:val="24"/>
        </w:rPr>
        <w:t>joint procedures and 550 foot and ankle procedures for the year.  This equates to a total of 5</w:t>
      </w:r>
      <w:r>
        <w:rPr>
          <w:rFonts w:ascii="Arial" w:hAnsi="Arial" w:cs="Arial"/>
          <w:sz w:val="24"/>
          <w:szCs w:val="24"/>
        </w:rPr>
        <w:t>,</w:t>
      </w:r>
      <w:r w:rsidRPr="00DA461D">
        <w:rPr>
          <w:rFonts w:ascii="Arial" w:hAnsi="Arial" w:cs="Arial"/>
          <w:sz w:val="24"/>
          <w:szCs w:val="24"/>
        </w:rPr>
        <w:t>034 orthopaedic theatre slots per annum (as documented in Appendix B).</w:t>
      </w:r>
    </w:p>
    <w:p w:rsidR="007E4BB4" w:rsidRPr="00DA461D" w:rsidRDefault="007E4BB4" w:rsidP="00DA461D">
      <w:pPr>
        <w:pStyle w:val="BodyTextIndent3"/>
        <w:spacing w:after="0"/>
        <w:ind w:left="72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At the end of April, orthopaedic joint activity was behind the year to date plan by 35 primary joint replacements and 16 orthopaedic ‘other’ procedures while foot and ankle procedures were slightly ahead of plan by 6 procedures.  Throughout 2016 there has been a higher than expected demand for foot and ankle surgery and lower orthopaedic ‘other’ than expected, so activity was realigned for 2017/18 to take this into account. Overall, orthopaedic surgery is currently behind plan 45 theatre slots.</w:t>
      </w: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0"/>
        <w:rPr>
          <w:rFonts w:ascii="Arial" w:hAnsi="Arial" w:cs="Arial"/>
          <w:b/>
          <w:sz w:val="24"/>
          <w:szCs w:val="24"/>
        </w:rPr>
      </w:pPr>
      <w:r>
        <w:rPr>
          <w:rFonts w:ascii="Arial" w:hAnsi="Arial" w:cs="Arial"/>
          <w:b/>
          <w:sz w:val="24"/>
          <w:szCs w:val="24"/>
        </w:rPr>
        <w:t>3.2</w:t>
      </w:r>
      <w:r>
        <w:rPr>
          <w:rFonts w:ascii="Arial" w:hAnsi="Arial" w:cs="Arial"/>
          <w:b/>
          <w:sz w:val="24"/>
          <w:szCs w:val="24"/>
        </w:rPr>
        <w:tab/>
      </w:r>
      <w:r w:rsidRPr="00DA461D">
        <w:rPr>
          <w:rFonts w:ascii="Arial" w:hAnsi="Arial" w:cs="Arial"/>
          <w:b/>
          <w:sz w:val="24"/>
          <w:szCs w:val="24"/>
        </w:rPr>
        <w:t>Ophthalmic Surgery</w:t>
      </w: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Ophthalmology activity was behind plan for the month by 77 procedures, which was disappointing fo</w:t>
      </w:r>
      <w:r>
        <w:rPr>
          <w:rFonts w:ascii="Arial" w:hAnsi="Arial" w:cs="Arial"/>
          <w:sz w:val="24"/>
          <w:szCs w:val="24"/>
        </w:rPr>
        <w:t xml:space="preserve">r the first month of the year. </w:t>
      </w:r>
      <w:r w:rsidRPr="00DA461D">
        <w:rPr>
          <w:rFonts w:ascii="Arial" w:hAnsi="Arial" w:cs="Arial"/>
          <w:sz w:val="24"/>
          <w:szCs w:val="24"/>
        </w:rPr>
        <w:t>This was due to consultant availability.</w:t>
      </w:r>
    </w:p>
    <w:p w:rsidR="007E4BB4" w:rsidRPr="00DA461D" w:rsidRDefault="007E4BB4" w:rsidP="00DA461D">
      <w:pPr>
        <w:pStyle w:val="BodyTextIndent3"/>
        <w:spacing w:after="0"/>
        <w:ind w:left="0"/>
        <w:rPr>
          <w:rFonts w:ascii="Arial" w:hAnsi="Arial" w:cs="Arial"/>
          <w:b/>
          <w:sz w:val="24"/>
          <w:szCs w:val="24"/>
        </w:rPr>
      </w:pPr>
    </w:p>
    <w:p w:rsidR="007E4BB4" w:rsidRPr="00DA461D" w:rsidRDefault="007E4BB4" w:rsidP="00DA461D">
      <w:pPr>
        <w:pStyle w:val="BodyTextIndent3"/>
        <w:spacing w:after="0"/>
        <w:ind w:left="0"/>
        <w:rPr>
          <w:rFonts w:ascii="Arial" w:hAnsi="Arial" w:cs="Arial"/>
          <w:b/>
          <w:sz w:val="24"/>
          <w:szCs w:val="24"/>
        </w:rPr>
      </w:pPr>
      <w:r>
        <w:rPr>
          <w:rFonts w:ascii="Arial" w:hAnsi="Arial" w:cs="Arial"/>
          <w:b/>
          <w:sz w:val="24"/>
          <w:szCs w:val="24"/>
        </w:rPr>
        <w:t>3.3</w:t>
      </w:r>
      <w:r>
        <w:rPr>
          <w:rFonts w:ascii="Arial" w:hAnsi="Arial" w:cs="Arial"/>
          <w:b/>
          <w:sz w:val="24"/>
          <w:szCs w:val="24"/>
        </w:rPr>
        <w:tab/>
      </w:r>
      <w:r w:rsidRPr="00DA461D">
        <w:rPr>
          <w:rFonts w:ascii="Arial" w:hAnsi="Arial" w:cs="Arial"/>
          <w:b/>
          <w:sz w:val="24"/>
          <w:szCs w:val="24"/>
        </w:rPr>
        <w:t>General Surgery</w:t>
      </w:r>
    </w:p>
    <w:p w:rsidR="007E4BB4" w:rsidRPr="00DA461D" w:rsidRDefault="007E4BB4" w:rsidP="00DA461D">
      <w:pPr>
        <w:pStyle w:val="BodyTextIndent3"/>
        <w:spacing w:after="0"/>
        <w:ind w:left="0"/>
        <w:rPr>
          <w:rFonts w:ascii="Arial" w:hAnsi="Arial" w:cs="Arial"/>
          <w:b/>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 xml:space="preserve">General surgery performed on target. No weekend operating lists were carried out for general surgery in April.  </w:t>
      </w: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0"/>
        <w:rPr>
          <w:rFonts w:ascii="Arial" w:hAnsi="Arial" w:cs="Arial"/>
          <w:b/>
          <w:sz w:val="24"/>
          <w:szCs w:val="24"/>
        </w:rPr>
      </w:pPr>
      <w:r>
        <w:rPr>
          <w:rFonts w:ascii="Arial" w:hAnsi="Arial" w:cs="Arial"/>
          <w:b/>
          <w:sz w:val="24"/>
          <w:szCs w:val="24"/>
        </w:rPr>
        <w:t>3.4</w:t>
      </w:r>
      <w:r>
        <w:rPr>
          <w:rFonts w:ascii="Arial" w:hAnsi="Arial" w:cs="Arial"/>
          <w:b/>
          <w:sz w:val="24"/>
          <w:szCs w:val="24"/>
        </w:rPr>
        <w:tab/>
      </w:r>
      <w:r w:rsidRPr="00DA461D">
        <w:rPr>
          <w:rFonts w:ascii="Arial" w:hAnsi="Arial" w:cs="Arial"/>
          <w:b/>
          <w:sz w:val="24"/>
          <w:szCs w:val="24"/>
        </w:rPr>
        <w:t>Plastic Surgery</w:t>
      </w:r>
    </w:p>
    <w:p w:rsidR="007E4BB4" w:rsidRPr="00DA461D" w:rsidRDefault="007E4BB4" w:rsidP="00DA461D">
      <w:pPr>
        <w:pStyle w:val="BodyTextIndent3"/>
        <w:spacing w:after="0"/>
        <w:ind w:left="0"/>
        <w:rPr>
          <w:rFonts w:ascii="Arial" w:hAnsi="Arial" w:cs="Arial"/>
          <w:b/>
          <w:sz w:val="24"/>
          <w:szCs w:val="24"/>
        </w:rPr>
      </w:pPr>
    </w:p>
    <w:p w:rsidR="007E4BB4" w:rsidRDefault="007E4BB4" w:rsidP="00DA461D">
      <w:pPr>
        <w:pStyle w:val="BodyTextIndent3"/>
        <w:spacing w:after="0"/>
        <w:ind w:left="720"/>
        <w:rPr>
          <w:rFonts w:ascii="Arial" w:hAnsi="Arial" w:cs="Arial"/>
          <w:sz w:val="24"/>
          <w:szCs w:val="24"/>
        </w:rPr>
      </w:pPr>
      <w:r w:rsidRPr="00DA461D">
        <w:rPr>
          <w:rFonts w:ascii="Arial" w:hAnsi="Arial" w:cs="Arial"/>
          <w:sz w:val="24"/>
          <w:szCs w:val="24"/>
        </w:rPr>
        <w:t>For reporting purposes Plastic Surgery has been split and will be monitored throughout 2016/17 as hand surgery, minor plastic surgery</w:t>
      </w:r>
      <w:r>
        <w:rPr>
          <w:rFonts w:ascii="Arial" w:hAnsi="Arial" w:cs="Arial"/>
          <w:sz w:val="24"/>
          <w:szCs w:val="24"/>
        </w:rPr>
        <w:t>,</w:t>
      </w:r>
      <w:r w:rsidRPr="00DA461D">
        <w:rPr>
          <w:rFonts w:ascii="Arial" w:hAnsi="Arial" w:cs="Arial"/>
          <w:sz w:val="24"/>
          <w:szCs w:val="24"/>
        </w:rPr>
        <w:t xml:space="preserve"> and major plastic surgery. The delivery of hand surgery activity in the month was exactly as planned for the month of April.  Minor plastic </w:t>
      </w:r>
      <w:r>
        <w:rPr>
          <w:rFonts w:ascii="Arial" w:hAnsi="Arial" w:cs="Arial"/>
          <w:sz w:val="24"/>
          <w:szCs w:val="24"/>
        </w:rPr>
        <w:t>surgery was</w:t>
      </w:r>
      <w:r w:rsidRPr="00DA461D">
        <w:rPr>
          <w:rFonts w:ascii="Arial" w:hAnsi="Arial" w:cs="Arial"/>
          <w:sz w:val="24"/>
          <w:szCs w:val="24"/>
        </w:rPr>
        <w:t xml:space="preserve"> 1 procedure ahead and major procedures </w:t>
      </w:r>
      <w:r>
        <w:rPr>
          <w:rFonts w:ascii="Arial" w:hAnsi="Arial" w:cs="Arial"/>
          <w:sz w:val="24"/>
          <w:szCs w:val="24"/>
        </w:rPr>
        <w:t xml:space="preserve">were </w:t>
      </w:r>
      <w:r w:rsidRPr="00DA461D">
        <w:rPr>
          <w:rFonts w:ascii="Arial" w:hAnsi="Arial" w:cs="Arial"/>
          <w:sz w:val="24"/>
          <w:szCs w:val="24"/>
        </w:rPr>
        <w:t>3 behind plan.</w:t>
      </w:r>
    </w:p>
    <w:p w:rsidR="007E4BB4" w:rsidRPr="00DA461D" w:rsidRDefault="007E4BB4" w:rsidP="00DA461D">
      <w:pPr>
        <w:pStyle w:val="BodyTextIndent3"/>
        <w:spacing w:after="0"/>
        <w:ind w:left="720"/>
        <w:rPr>
          <w:rFonts w:ascii="Arial" w:hAnsi="Arial" w:cs="Arial"/>
          <w:sz w:val="24"/>
          <w:szCs w:val="24"/>
        </w:rPr>
      </w:pPr>
    </w:p>
    <w:p w:rsidR="007E4BB4" w:rsidRPr="00DA461D" w:rsidRDefault="007E4BB4" w:rsidP="00DA461D">
      <w:pPr>
        <w:pStyle w:val="BodyTextIndent3"/>
        <w:spacing w:after="0"/>
        <w:ind w:left="0"/>
        <w:rPr>
          <w:rFonts w:ascii="Arial" w:hAnsi="Arial" w:cs="Arial"/>
          <w:b/>
          <w:sz w:val="24"/>
          <w:szCs w:val="24"/>
        </w:rPr>
      </w:pPr>
      <w:r w:rsidRPr="00DA461D">
        <w:rPr>
          <w:rFonts w:ascii="Arial" w:hAnsi="Arial" w:cs="Arial"/>
          <w:b/>
          <w:sz w:val="24"/>
          <w:szCs w:val="24"/>
        </w:rPr>
        <w:t>3.5</w:t>
      </w:r>
      <w:r w:rsidRPr="00DA461D">
        <w:rPr>
          <w:rFonts w:ascii="Arial" w:hAnsi="Arial" w:cs="Arial"/>
          <w:b/>
          <w:sz w:val="24"/>
          <w:szCs w:val="24"/>
        </w:rPr>
        <w:tab/>
        <w:t>Endoscopy</w:t>
      </w:r>
    </w:p>
    <w:p w:rsidR="007E4BB4" w:rsidRPr="00DA461D" w:rsidRDefault="007E4BB4" w:rsidP="00DA461D">
      <w:pPr>
        <w:pStyle w:val="BodyTextIndent3"/>
        <w:spacing w:after="0"/>
        <w:ind w:left="0"/>
        <w:rPr>
          <w:rFonts w:ascii="Arial" w:hAnsi="Arial" w:cs="Arial"/>
          <w:b/>
          <w:sz w:val="24"/>
          <w:szCs w:val="24"/>
        </w:rPr>
      </w:pPr>
    </w:p>
    <w:p w:rsidR="007E4BB4" w:rsidRDefault="007E4BB4" w:rsidP="00DA461D">
      <w:pPr>
        <w:pStyle w:val="BodyTextIndent3"/>
        <w:spacing w:after="0"/>
        <w:ind w:left="720"/>
        <w:rPr>
          <w:rFonts w:ascii="Arial" w:hAnsi="Arial" w:cs="Arial"/>
          <w:sz w:val="24"/>
          <w:szCs w:val="24"/>
        </w:rPr>
      </w:pPr>
      <w:r w:rsidRPr="00DA461D">
        <w:rPr>
          <w:rFonts w:ascii="Arial" w:hAnsi="Arial" w:cs="Arial"/>
          <w:sz w:val="24"/>
          <w:szCs w:val="24"/>
        </w:rPr>
        <w:t xml:space="preserve">The endoscopy service performed slightly behind plan by 11 procedures in the month of April. </w:t>
      </w:r>
    </w:p>
    <w:p w:rsidR="007E4BB4" w:rsidRDefault="007E4BB4" w:rsidP="00DA461D">
      <w:pPr>
        <w:pStyle w:val="BodyTextIndent3"/>
        <w:spacing w:after="0"/>
        <w:ind w:left="72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p>
    <w:p w:rsidR="007E4BB4" w:rsidRPr="00DA461D" w:rsidRDefault="007E4BB4" w:rsidP="00DA461D">
      <w:pPr>
        <w:pStyle w:val="BodyTextIndent3"/>
        <w:spacing w:after="0"/>
        <w:ind w:left="0"/>
        <w:rPr>
          <w:rFonts w:ascii="Arial" w:hAnsi="Arial" w:cs="Arial"/>
          <w:b/>
          <w:sz w:val="24"/>
          <w:szCs w:val="24"/>
        </w:rPr>
      </w:pPr>
      <w:r>
        <w:rPr>
          <w:rFonts w:ascii="Arial" w:hAnsi="Arial" w:cs="Arial"/>
          <w:b/>
          <w:sz w:val="24"/>
          <w:szCs w:val="24"/>
        </w:rPr>
        <w:t>3.6</w:t>
      </w:r>
      <w:r>
        <w:rPr>
          <w:rFonts w:ascii="Arial" w:hAnsi="Arial" w:cs="Arial"/>
          <w:b/>
          <w:sz w:val="24"/>
          <w:szCs w:val="24"/>
        </w:rPr>
        <w:tab/>
      </w:r>
      <w:r w:rsidRPr="00DA461D">
        <w:rPr>
          <w:rFonts w:ascii="Arial" w:hAnsi="Arial" w:cs="Arial"/>
          <w:b/>
          <w:sz w:val="24"/>
          <w:szCs w:val="24"/>
        </w:rPr>
        <w:t>Diagnostic Imaging</w:t>
      </w: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720"/>
        <w:rPr>
          <w:rFonts w:ascii="Arial" w:hAnsi="Arial" w:cs="Arial"/>
          <w:sz w:val="24"/>
          <w:szCs w:val="24"/>
        </w:rPr>
      </w:pPr>
      <w:r w:rsidRPr="00DA461D">
        <w:rPr>
          <w:rFonts w:ascii="Arial" w:hAnsi="Arial" w:cs="Arial"/>
          <w:sz w:val="24"/>
          <w:szCs w:val="24"/>
        </w:rPr>
        <w:t>In order to meet the ongoing demands of referring Boards, and while the new permanent MRI unit is under construction</w:t>
      </w:r>
      <w:r>
        <w:rPr>
          <w:rFonts w:ascii="Arial" w:hAnsi="Arial" w:cs="Arial"/>
          <w:sz w:val="24"/>
          <w:szCs w:val="24"/>
        </w:rPr>
        <w:t>, a</w:t>
      </w:r>
      <w:r w:rsidRPr="00DA461D">
        <w:rPr>
          <w:rFonts w:ascii="Arial" w:hAnsi="Arial" w:cs="Arial"/>
          <w:sz w:val="24"/>
          <w:szCs w:val="24"/>
        </w:rPr>
        <w:t xml:space="preserve">greement was reached for the mobile MRI scanner to remain on site at GJNH for the full year.  The activity associated with the mobile unit is included in full year target number.  Activity has remained high and for the month of April, although Diagnostic Imaging performed slightly behind plan by 5 examinations.  </w:t>
      </w:r>
    </w:p>
    <w:p w:rsidR="007E4BB4" w:rsidRPr="00DA461D" w:rsidRDefault="007E4BB4" w:rsidP="00DA461D">
      <w:pPr>
        <w:rPr>
          <w:rFonts w:ascii="Arial" w:hAnsi="Arial" w:cs="Arial"/>
        </w:rPr>
      </w:pPr>
    </w:p>
    <w:p w:rsidR="007E4BB4" w:rsidRPr="00DA461D" w:rsidRDefault="007E4BB4" w:rsidP="00DA461D">
      <w:pPr>
        <w:rPr>
          <w:rFonts w:ascii="Arial" w:hAnsi="Arial" w:cs="Arial"/>
          <w:b/>
        </w:rPr>
      </w:pPr>
      <w:r w:rsidRPr="00DA461D">
        <w:rPr>
          <w:rFonts w:ascii="Arial" w:hAnsi="Arial" w:cs="Arial"/>
          <w:b/>
        </w:rPr>
        <w:t>4</w:t>
      </w:r>
      <w:r w:rsidRPr="00DA461D">
        <w:rPr>
          <w:rFonts w:ascii="Arial" w:hAnsi="Arial" w:cs="Arial"/>
          <w:b/>
        </w:rPr>
        <w:tab/>
        <w:t>Current Situation</w:t>
      </w:r>
    </w:p>
    <w:p w:rsidR="007E4BB4" w:rsidRPr="00DA461D" w:rsidRDefault="007E4BB4" w:rsidP="00DA461D">
      <w:pPr>
        <w:rPr>
          <w:rFonts w:ascii="Arial" w:hAnsi="Arial" w:cs="Arial"/>
          <w:b/>
        </w:rPr>
      </w:pPr>
    </w:p>
    <w:p w:rsidR="007E4BB4" w:rsidRPr="00DA461D" w:rsidRDefault="007E4BB4" w:rsidP="00DA461D">
      <w:pPr>
        <w:numPr>
          <w:ilvl w:val="0"/>
          <w:numId w:val="18"/>
        </w:numPr>
        <w:ind w:left="1080"/>
        <w:rPr>
          <w:rFonts w:ascii="Arial" w:hAnsi="Arial" w:cs="Arial"/>
        </w:rPr>
      </w:pPr>
      <w:r w:rsidRPr="00DA461D">
        <w:rPr>
          <w:rFonts w:ascii="Arial" w:hAnsi="Arial" w:cs="Arial"/>
        </w:rPr>
        <w:t>Delivery of the Plastic Surgery service was an ongoing challenge throughout 2016/17 due to access to Plastic Surgeons.  We have therefore realigned some of the major plastics procedures and replaced the capacity with a combination of general su</w:t>
      </w:r>
      <w:r>
        <w:rPr>
          <w:rFonts w:ascii="Arial" w:hAnsi="Arial" w:cs="Arial"/>
        </w:rPr>
        <w:t xml:space="preserve">rgery and orthopaedic surgery. </w:t>
      </w:r>
      <w:r w:rsidRPr="00DA461D">
        <w:rPr>
          <w:rFonts w:ascii="Arial" w:hAnsi="Arial" w:cs="Arial"/>
        </w:rPr>
        <w:t xml:space="preserve">This agreement was reached with the referring Board. </w:t>
      </w:r>
    </w:p>
    <w:p w:rsidR="007E4BB4" w:rsidRPr="00DA461D" w:rsidRDefault="007E4BB4" w:rsidP="00DA461D">
      <w:pPr>
        <w:numPr>
          <w:ilvl w:val="0"/>
          <w:numId w:val="18"/>
        </w:numPr>
        <w:ind w:left="1080"/>
        <w:rPr>
          <w:rFonts w:ascii="Arial" w:hAnsi="Arial" w:cs="Arial"/>
        </w:rPr>
      </w:pPr>
      <w:r w:rsidRPr="00DA461D">
        <w:rPr>
          <w:rFonts w:ascii="Arial" w:hAnsi="Arial" w:cs="Arial"/>
        </w:rPr>
        <w:t xml:space="preserve">There have been no requests so far this year for additional weekend general surgery lists. </w:t>
      </w:r>
    </w:p>
    <w:p w:rsidR="007E4BB4" w:rsidRPr="00DA461D" w:rsidRDefault="007E4BB4" w:rsidP="00DA461D">
      <w:pPr>
        <w:numPr>
          <w:ilvl w:val="0"/>
          <w:numId w:val="17"/>
        </w:numPr>
        <w:tabs>
          <w:tab w:val="left" w:pos="709"/>
        </w:tabs>
        <w:ind w:left="1080"/>
        <w:rPr>
          <w:rFonts w:ascii="Arial" w:hAnsi="Arial" w:cs="Arial"/>
        </w:rPr>
      </w:pPr>
      <w:r w:rsidRPr="00DA461D">
        <w:rPr>
          <w:rFonts w:ascii="Arial" w:hAnsi="Arial" w:cs="Arial"/>
        </w:rPr>
        <w:t xml:space="preserve">There has been further delay in the arrival of the Ophthalmic Surgeon appointed in </w:t>
      </w:r>
      <w:r>
        <w:rPr>
          <w:rFonts w:ascii="Arial" w:hAnsi="Arial" w:cs="Arial"/>
        </w:rPr>
        <w:t xml:space="preserve">Autumn 2016. </w:t>
      </w:r>
      <w:r w:rsidRPr="00DA461D">
        <w:rPr>
          <w:rFonts w:ascii="Arial" w:hAnsi="Arial" w:cs="Arial"/>
        </w:rPr>
        <w:t>This delayed arrival</w:t>
      </w:r>
      <w:r>
        <w:rPr>
          <w:rFonts w:ascii="Arial" w:hAnsi="Arial" w:cs="Arial"/>
        </w:rPr>
        <w:t xml:space="preserve">, </w:t>
      </w:r>
      <w:r w:rsidRPr="00DA461D">
        <w:rPr>
          <w:rFonts w:ascii="Arial" w:hAnsi="Arial" w:cs="Arial"/>
        </w:rPr>
        <w:t>together with recent sickness absence</w:t>
      </w:r>
      <w:r>
        <w:rPr>
          <w:rFonts w:ascii="Arial" w:hAnsi="Arial" w:cs="Arial"/>
        </w:rPr>
        <w:t>,</w:t>
      </w:r>
      <w:r w:rsidRPr="00DA461D">
        <w:rPr>
          <w:rFonts w:ascii="Arial" w:hAnsi="Arial" w:cs="Arial"/>
        </w:rPr>
        <w:t xml:space="preserve"> has had a significant adverse impact on our ability to deliver the high number of cataracts in April. Interim solutions to this challenge are being explored.  </w:t>
      </w:r>
    </w:p>
    <w:p w:rsidR="007E4BB4" w:rsidRPr="00DA461D" w:rsidRDefault="007E4BB4" w:rsidP="00DA461D">
      <w:pPr>
        <w:numPr>
          <w:ilvl w:val="0"/>
          <w:numId w:val="17"/>
        </w:numPr>
        <w:tabs>
          <w:tab w:val="left" w:pos="709"/>
        </w:tabs>
        <w:ind w:left="1080"/>
        <w:rPr>
          <w:rFonts w:ascii="Arial" w:hAnsi="Arial" w:cs="Arial"/>
        </w:rPr>
      </w:pPr>
      <w:r w:rsidRPr="00DA461D">
        <w:rPr>
          <w:rFonts w:ascii="Arial" w:hAnsi="Arial" w:cs="Arial"/>
        </w:rPr>
        <w:t>The mobile Ophthalmology theatre arrived on site and was expected to  ‘go live’ in mid April.  However, there were a number of issues that delayed activati</w:t>
      </w:r>
      <w:r>
        <w:rPr>
          <w:rFonts w:ascii="Arial" w:hAnsi="Arial" w:cs="Arial"/>
        </w:rPr>
        <w:t xml:space="preserve">ng this theatre until mid May. </w:t>
      </w:r>
      <w:r w:rsidRPr="00DA461D">
        <w:rPr>
          <w:rFonts w:ascii="Arial" w:hAnsi="Arial" w:cs="Arial"/>
        </w:rPr>
        <w:t>Activity assumptions and allocations were realigned to reflect this delay.</w:t>
      </w:r>
    </w:p>
    <w:p w:rsidR="007E4BB4" w:rsidRPr="00DA461D" w:rsidRDefault="007E4BB4" w:rsidP="00DA461D">
      <w:pPr>
        <w:numPr>
          <w:ilvl w:val="0"/>
          <w:numId w:val="16"/>
        </w:numPr>
        <w:ind w:left="1080"/>
        <w:rPr>
          <w:rFonts w:ascii="Arial" w:hAnsi="Arial" w:cs="Arial"/>
        </w:rPr>
      </w:pPr>
      <w:r w:rsidRPr="00DA461D">
        <w:rPr>
          <w:rFonts w:ascii="Arial" w:hAnsi="Arial" w:cs="Arial"/>
        </w:rPr>
        <w:t>The two week Easter holiday period in April presented challenges in delivering the planned</w:t>
      </w:r>
      <w:r>
        <w:rPr>
          <w:rFonts w:ascii="Arial" w:hAnsi="Arial" w:cs="Arial"/>
        </w:rPr>
        <w:t xml:space="preserve"> activity in most specialties. </w:t>
      </w:r>
      <w:r w:rsidRPr="00DA461D">
        <w:rPr>
          <w:rFonts w:ascii="Arial" w:hAnsi="Arial" w:cs="Arial"/>
        </w:rPr>
        <w:t xml:space="preserve">However, the Recovery Group will continue to meet on a weekly basis to scrutinise theatre utilisation and address the shortfall in activity that has already been accumulated.  </w:t>
      </w: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0"/>
        <w:rPr>
          <w:rFonts w:ascii="Arial" w:hAnsi="Arial" w:cs="Arial"/>
          <w:sz w:val="24"/>
          <w:szCs w:val="24"/>
        </w:rPr>
      </w:pPr>
    </w:p>
    <w:p w:rsidR="007E4BB4" w:rsidRPr="00DA461D" w:rsidRDefault="007E4BB4" w:rsidP="00DA461D">
      <w:pPr>
        <w:pStyle w:val="BodyTextIndent3"/>
        <w:spacing w:after="0"/>
        <w:ind w:left="0" w:right="-360"/>
        <w:rPr>
          <w:rFonts w:ascii="Arial" w:hAnsi="Arial" w:cs="Arial"/>
          <w:sz w:val="24"/>
          <w:szCs w:val="24"/>
        </w:rPr>
      </w:pPr>
      <w:smartTag w:uri="urn:schemas-microsoft-com:office:smarttags" w:element="PersonName">
        <w:r w:rsidRPr="00DA461D">
          <w:rPr>
            <w:rFonts w:ascii="Arial" w:hAnsi="Arial" w:cs="Arial"/>
            <w:b/>
            <w:sz w:val="24"/>
            <w:szCs w:val="24"/>
          </w:rPr>
          <w:t>June Rogers</w:t>
        </w:r>
      </w:smartTag>
    </w:p>
    <w:p w:rsidR="007E4BB4" w:rsidRPr="00DA461D" w:rsidRDefault="007E4BB4" w:rsidP="00DA461D">
      <w:pPr>
        <w:pStyle w:val="BodyTextIndent3"/>
        <w:spacing w:after="0"/>
        <w:ind w:left="0" w:right="-360"/>
        <w:rPr>
          <w:rFonts w:ascii="Arial" w:hAnsi="Arial" w:cs="Arial"/>
          <w:b/>
          <w:sz w:val="24"/>
          <w:szCs w:val="24"/>
        </w:rPr>
      </w:pPr>
      <w:r w:rsidRPr="00DA461D">
        <w:rPr>
          <w:rFonts w:ascii="Arial" w:hAnsi="Arial" w:cs="Arial"/>
          <w:b/>
          <w:sz w:val="24"/>
          <w:szCs w:val="24"/>
        </w:rPr>
        <w:t xml:space="preserve">Director of Operations </w:t>
      </w:r>
    </w:p>
    <w:p w:rsidR="007E4BB4" w:rsidRPr="00DA461D" w:rsidRDefault="007E4BB4" w:rsidP="00DA461D">
      <w:pPr>
        <w:pStyle w:val="BodyTextIndent3"/>
        <w:spacing w:after="0"/>
        <w:ind w:left="0" w:right="-360"/>
        <w:rPr>
          <w:rFonts w:ascii="Arial" w:hAnsi="Arial" w:cs="Arial"/>
          <w:b/>
          <w:sz w:val="24"/>
          <w:szCs w:val="24"/>
        </w:rPr>
      </w:pPr>
      <w:r w:rsidRPr="00DA461D">
        <w:rPr>
          <w:rFonts w:ascii="Arial" w:hAnsi="Arial" w:cs="Arial"/>
          <w:b/>
          <w:sz w:val="24"/>
          <w:szCs w:val="24"/>
        </w:rPr>
        <w:t>19 May 2017</w:t>
      </w:r>
    </w:p>
    <w:p w:rsidR="007E4BB4" w:rsidRPr="00DA461D" w:rsidRDefault="007E4BB4" w:rsidP="00DA461D">
      <w:pPr>
        <w:ind w:left="-360" w:firstLine="360"/>
        <w:contextualSpacing/>
        <w:rPr>
          <w:rFonts w:ascii="Arial" w:hAnsi="Arial" w:cs="Arial"/>
        </w:rPr>
      </w:pPr>
    </w:p>
    <w:p w:rsidR="007E4BB4" w:rsidRPr="00DA461D" w:rsidRDefault="007E4BB4" w:rsidP="00DA461D">
      <w:pPr>
        <w:pStyle w:val="BodyTextIndent"/>
        <w:ind w:left="540" w:right="183" w:firstLine="0"/>
        <w:contextualSpacing/>
        <w:rPr>
          <w:rFonts w:ascii="Arial" w:hAnsi="Arial" w:cs="Arial"/>
          <w:b/>
          <w:bCs/>
        </w:rPr>
      </w:pPr>
    </w:p>
    <w:sectPr w:rsidR="007E4BB4" w:rsidRPr="00DA461D" w:rsidSect="00F96BEC">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BB4" w:rsidRDefault="007E4BB4">
      <w:r>
        <w:separator/>
      </w:r>
    </w:p>
  </w:endnote>
  <w:endnote w:type="continuationSeparator" w:id="0">
    <w:p w:rsidR="007E4BB4" w:rsidRDefault="007E4B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B4" w:rsidRDefault="007E4BB4" w:rsidP="00F96BEC">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7E4BB4" w:rsidRPr="00513DB0" w:rsidRDefault="007E4BB4"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3</w:t>
    </w:r>
    <w:r w:rsidRPr="00513DB0">
      <w:rPr>
        <w:rStyle w:val="PageNumber"/>
        <w:rFonts w:ascii="Arial" w:hAnsi="Arial" w:cs="Arial"/>
      </w:rPr>
      <w:fldChar w:fldCharType="end"/>
    </w:r>
  </w:p>
  <w:p w:rsidR="007E4BB4" w:rsidRDefault="007E4BB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B4" w:rsidRPr="00513DB0" w:rsidRDefault="007E4BB4" w:rsidP="00F96BEC">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7E4BB4" w:rsidRDefault="007E4BB4" w:rsidP="00F96BEC">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7E4BB4" w:rsidRDefault="007E4BB4" w:rsidP="00F96BEC">
    <w:pPr>
      <w:ind w:right="184"/>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nhsscotland" style="position:absolute;left:0;text-align:left;margin-left:428.55pt;margin-top:9.35pt;width:40.8pt;height:26.85pt;z-index:251660288;visibility:visible">
          <v:imagedata r:id="rId1" o:title=""/>
        </v:shape>
      </w:pict>
    </w:r>
  </w:p>
  <w:p w:rsidR="007E4BB4" w:rsidRPr="008F5DB5" w:rsidRDefault="007E4BB4" w:rsidP="00F96BEC">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7E4BB4" w:rsidRPr="00EA4869" w:rsidRDefault="007E4BB4" w:rsidP="00F96BEC">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p w:rsidR="007E4BB4" w:rsidRDefault="007E4B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BB4" w:rsidRDefault="007E4BB4">
      <w:r>
        <w:separator/>
      </w:r>
    </w:p>
  </w:footnote>
  <w:footnote w:type="continuationSeparator" w:id="0">
    <w:p w:rsidR="007E4BB4" w:rsidRDefault="007E4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30D46FAD"/>
    <w:multiLevelType w:val="hybridMultilevel"/>
    <w:tmpl w:val="1A14CC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1F656EC"/>
    <w:multiLevelType w:val="hybridMultilevel"/>
    <w:tmpl w:val="67220760"/>
    <w:lvl w:ilvl="0" w:tplc="7A4E6392">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357F0AA9"/>
    <w:multiLevelType w:val="hybridMultilevel"/>
    <w:tmpl w:val="120A69AC"/>
    <w:lvl w:ilvl="0" w:tplc="5B2628E4">
      <w:start w:val="2"/>
      <w:numFmt w:val="decimal"/>
      <w:lvlText w:val="%1."/>
      <w:lvlJc w:val="left"/>
      <w:pPr>
        <w:tabs>
          <w:tab w:val="num" w:pos="720"/>
        </w:tabs>
        <w:ind w:left="720" w:hanging="360"/>
      </w:pPr>
      <w:rPr>
        <w:rFonts w:cs="Times New Roman"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hint="default"/>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8">
    <w:nsid w:val="49EB7593"/>
    <w:multiLevelType w:val="hybridMultilevel"/>
    <w:tmpl w:val="700E4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761174"/>
    <w:multiLevelType w:val="hybridMultilevel"/>
    <w:tmpl w:val="DF30F36C"/>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57F76F0A"/>
    <w:multiLevelType w:val="hybridMultilevel"/>
    <w:tmpl w:val="328EBF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5CE925D2"/>
    <w:multiLevelType w:val="hybridMultilevel"/>
    <w:tmpl w:val="7EC26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46003EA"/>
    <w:multiLevelType w:val="hybridMultilevel"/>
    <w:tmpl w:val="493E40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60B4F"/>
    <w:multiLevelType w:val="hybridMultilevel"/>
    <w:tmpl w:val="14D82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8F9492A"/>
    <w:multiLevelType w:val="hybridMultilevel"/>
    <w:tmpl w:val="5DCA713A"/>
    <w:lvl w:ilvl="0" w:tplc="A6D6E770">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10"/>
  </w:num>
  <w:num w:numId="4">
    <w:abstractNumId w:val="1"/>
  </w:num>
  <w:num w:numId="5">
    <w:abstractNumId w:val="2"/>
  </w:num>
  <w:num w:numId="6">
    <w:abstractNumId w:val="7"/>
  </w:num>
  <w:num w:numId="7">
    <w:abstractNumId w:val="16"/>
  </w:num>
  <w:num w:numId="8">
    <w:abstractNumId w:val="0"/>
  </w:num>
  <w:num w:numId="9">
    <w:abstractNumId w:val="15"/>
  </w:num>
  <w:num w:numId="10">
    <w:abstractNumId w:val="6"/>
  </w:num>
  <w:num w:numId="11">
    <w:abstractNumId w:val="4"/>
  </w:num>
  <w:num w:numId="12">
    <w:abstractNumId w:val="12"/>
  </w:num>
  <w:num w:numId="13">
    <w:abstractNumId w:val="3"/>
  </w:num>
  <w:num w:numId="14">
    <w:abstractNumId w:val="9"/>
  </w:num>
  <w:num w:numId="15">
    <w:abstractNumId w:val="5"/>
  </w:num>
  <w:num w:numId="16">
    <w:abstractNumId w:val="11"/>
  </w:num>
  <w:num w:numId="17">
    <w:abstractNumId w:val="13"/>
  </w:num>
  <w:num w:numId="18">
    <w:abstractNumId w:val="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77B"/>
    <w:rsid w:val="00075AAA"/>
    <w:rsid w:val="00097EAE"/>
    <w:rsid w:val="000B5923"/>
    <w:rsid w:val="000D0952"/>
    <w:rsid w:val="00115F97"/>
    <w:rsid w:val="001175E5"/>
    <w:rsid w:val="002A42DD"/>
    <w:rsid w:val="003E423D"/>
    <w:rsid w:val="003F19CA"/>
    <w:rsid w:val="004512CE"/>
    <w:rsid w:val="0048410D"/>
    <w:rsid w:val="0048469E"/>
    <w:rsid w:val="00513DB0"/>
    <w:rsid w:val="00526532"/>
    <w:rsid w:val="005F02B7"/>
    <w:rsid w:val="0060634D"/>
    <w:rsid w:val="00661EF1"/>
    <w:rsid w:val="006A1357"/>
    <w:rsid w:val="006D6F99"/>
    <w:rsid w:val="00711E7A"/>
    <w:rsid w:val="007E4BB4"/>
    <w:rsid w:val="00815350"/>
    <w:rsid w:val="00825B2D"/>
    <w:rsid w:val="00842470"/>
    <w:rsid w:val="00844E0E"/>
    <w:rsid w:val="008A07AE"/>
    <w:rsid w:val="008C26A2"/>
    <w:rsid w:val="008F5DB5"/>
    <w:rsid w:val="0093700B"/>
    <w:rsid w:val="00937BE5"/>
    <w:rsid w:val="00974594"/>
    <w:rsid w:val="009E6A39"/>
    <w:rsid w:val="00A2577B"/>
    <w:rsid w:val="00A3124D"/>
    <w:rsid w:val="00C0017D"/>
    <w:rsid w:val="00C24B4E"/>
    <w:rsid w:val="00C36974"/>
    <w:rsid w:val="00C914DF"/>
    <w:rsid w:val="00C956E2"/>
    <w:rsid w:val="00CE4B72"/>
    <w:rsid w:val="00D306B6"/>
    <w:rsid w:val="00D92AA6"/>
    <w:rsid w:val="00DA461D"/>
    <w:rsid w:val="00DD7115"/>
    <w:rsid w:val="00DE5902"/>
    <w:rsid w:val="00E24BFC"/>
    <w:rsid w:val="00E95856"/>
    <w:rsid w:val="00EA4869"/>
    <w:rsid w:val="00EB7C07"/>
    <w:rsid w:val="00F12826"/>
    <w:rsid w:val="00F96BE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7B"/>
    <w:rPr>
      <w:sz w:val="24"/>
      <w:szCs w:val="24"/>
      <w:lang w:val="en-GB"/>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577"/>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E33577"/>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E33577"/>
    <w:rPr>
      <w:rFonts w:asciiTheme="majorHAnsi" w:eastAsiaTheme="majorEastAsia" w:hAnsiTheme="majorHAnsi" w:cstheme="majorBidi"/>
      <w:b/>
      <w:bCs/>
      <w:sz w:val="26"/>
      <w:szCs w:val="26"/>
      <w:lang w:val="en-GB"/>
    </w:rPr>
  </w:style>
  <w:style w:type="paragraph" w:styleId="Footer">
    <w:name w:val="footer"/>
    <w:basedOn w:val="Normal"/>
    <w:link w:val="FooterChar"/>
    <w:uiPriority w:val="99"/>
    <w:rsid w:val="00A2577B"/>
    <w:pPr>
      <w:tabs>
        <w:tab w:val="center" w:pos="4153"/>
        <w:tab w:val="right" w:pos="8306"/>
      </w:tabs>
    </w:pPr>
  </w:style>
  <w:style w:type="character" w:customStyle="1" w:styleId="FooterChar">
    <w:name w:val="Footer Char"/>
    <w:basedOn w:val="DefaultParagraphFont"/>
    <w:link w:val="Footer"/>
    <w:uiPriority w:val="99"/>
    <w:semiHidden/>
    <w:rsid w:val="00E33577"/>
    <w:rPr>
      <w:sz w:val="24"/>
      <w:szCs w:val="24"/>
      <w:lang w:val="en-GB"/>
    </w:rPr>
  </w:style>
  <w:style w:type="character" w:styleId="PageNumber">
    <w:name w:val="page number"/>
    <w:basedOn w:val="DefaultParagraphFont"/>
    <w:uiPriority w:val="99"/>
    <w:rsid w:val="00A2577B"/>
    <w:rPr>
      <w:rFonts w:cs="Times New Roman"/>
    </w:rPr>
  </w:style>
  <w:style w:type="paragraph" w:styleId="BodyTextIndent">
    <w:name w:val="Body Text Indent"/>
    <w:basedOn w:val="Normal"/>
    <w:link w:val="BodyTextIndentChar"/>
    <w:uiPriority w:val="99"/>
    <w:rsid w:val="00A2577B"/>
    <w:pPr>
      <w:ind w:left="720" w:hanging="720"/>
    </w:pPr>
  </w:style>
  <w:style w:type="character" w:customStyle="1" w:styleId="BodyTextIndentChar">
    <w:name w:val="Body Text Indent Char"/>
    <w:basedOn w:val="DefaultParagraphFont"/>
    <w:link w:val="BodyTextIndent"/>
    <w:uiPriority w:val="99"/>
    <w:semiHidden/>
    <w:rsid w:val="00E33577"/>
    <w:rPr>
      <w:sz w:val="24"/>
      <w:szCs w:val="24"/>
      <w:lang w:val="en-GB"/>
    </w:r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E33577"/>
    <w:rPr>
      <w:sz w:val="0"/>
      <w:szCs w:val="0"/>
      <w:lang w:val="en-GB"/>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526532"/>
    <w:rPr>
      <w:rFonts w:cs="Times New Roman"/>
      <w:b/>
      <w:sz w:val="22"/>
      <w:lang w:eastAsia="en-US"/>
    </w:rPr>
  </w:style>
  <w:style w:type="paragraph" w:styleId="Header">
    <w:name w:val="header"/>
    <w:basedOn w:val="Normal"/>
    <w:link w:val="HeaderChar"/>
    <w:uiPriority w:val="99"/>
    <w:rsid w:val="00513DB0"/>
    <w:pPr>
      <w:tabs>
        <w:tab w:val="center" w:pos="4153"/>
        <w:tab w:val="right" w:pos="8306"/>
      </w:tabs>
    </w:pPr>
  </w:style>
  <w:style w:type="character" w:customStyle="1" w:styleId="HeaderChar">
    <w:name w:val="Header Char"/>
    <w:basedOn w:val="DefaultParagraphFont"/>
    <w:link w:val="Header"/>
    <w:uiPriority w:val="99"/>
    <w:semiHidden/>
    <w:rsid w:val="00E33577"/>
    <w:rPr>
      <w:sz w:val="24"/>
      <w:szCs w:val="24"/>
      <w:lang w:val="en-GB"/>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E3A34"/>
    <w:rPr>
      <w:rFonts w:cs="Times New Roman"/>
      <w:sz w:val="16"/>
      <w:szCs w:val="16"/>
      <w:lang w:eastAsia="en-US"/>
    </w:rPr>
  </w:style>
  <w:style w:type="paragraph" w:styleId="ListParagraph">
    <w:name w:val="List Paragraph"/>
    <w:basedOn w:val="Normal"/>
    <w:uiPriority w:val="99"/>
    <w:qFormat/>
    <w:rsid w:val="00FE3A34"/>
    <w:pPr>
      <w:ind w:left="720"/>
    </w:pPr>
  </w:style>
  <w:style w:type="paragraph" w:styleId="BalloonText">
    <w:name w:val="Balloon Text"/>
    <w:basedOn w:val="Normal"/>
    <w:link w:val="BalloonTextChar"/>
    <w:uiPriority w:val="99"/>
    <w:rsid w:val="00F96BEC"/>
    <w:rPr>
      <w:rFonts w:ascii="Tahoma" w:hAnsi="Tahoma" w:cs="Tahoma"/>
      <w:sz w:val="16"/>
      <w:szCs w:val="16"/>
    </w:rPr>
  </w:style>
  <w:style w:type="character" w:customStyle="1" w:styleId="BalloonTextChar">
    <w:name w:val="Balloon Text Char"/>
    <w:basedOn w:val="DefaultParagraphFont"/>
    <w:link w:val="BalloonText"/>
    <w:uiPriority w:val="99"/>
    <w:locked/>
    <w:rsid w:val="00F96BE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3</Pages>
  <Words>883</Words>
  <Characters>5036</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McGuinnessC1</cp:lastModifiedBy>
  <cp:revision>4</cp:revision>
  <dcterms:created xsi:type="dcterms:W3CDTF">2017-05-04T14:57:00Z</dcterms:created>
  <dcterms:modified xsi:type="dcterms:W3CDTF">2017-06-09T09:53:00Z</dcterms:modified>
</cp:coreProperties>
</file>